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2018年英吉沙县林果业提质增效项目</w:t>
      </w:r>
    </w:p>
    <w:p>
      <w:pPr>
        <w:keepNext w:val="0"/>
        <w:keepLines w:val="0"/>
        <w:pageBreakBefore w:val="0"/>
        <w:kinsoku/>
        <w:overflowPunct/>
        <w:topLinePunct w:val="0"/>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绩效自评报告</w:t>
      </w:r>
    </w:p>
    <w:p>
      <w:pPr>
        <w:keepNext w:val="0"/>
        <w:keepLines w:val="0"/>
        <w:pageBreakBefore w:val="0"/>
        <w:numPr>
          <w:ilvl w:val="0"/>
          <w:numId w:val="1"/>
        </w:numPr>
        <w:kinsoku/>
        <w:overflowPunct/>
        <w:topLinePunct w:val="0"/>
        <w:bidi w:val="0"/>
        <w:spacing w:before="100" w:beforeAutospacing="1" w:line="570" w:lineRule="exact"/>
        <w:ind w:firstLine="640" w:firstLineChars="200"/>
        <w:jc w:val="left"/>
        <w:textAlignment w:val="auto"/>
        <w:rPr>
          <w:rFonts w:hint="eastAsia" w:ascii="仿宋" w:hAnsi="仿宋" w:eastAsia="仿宋" w:cs="仿宋"/>
          <w:bCs/>
          <w:kern w:val="44"/>
          <w:sz w:val="32"/>
          <w:szCs w:val="32"/>
        </w:rPr>
      </w:pPr>
      <w:r>
        <w:rPr>
          <w:rFonts w:hint="eastAsia" w:ascii="仿宋" w:hAnsi="仿宋" w:eastAsia="仿宋" w:cs="仿宋"/>
          <w:bCs/>
          <w:kern w:val="44"/>
          <w:sz w:val="32"/>
          <w:szCs w:val="32"/>
        </w:rPr>
        <w:t>项目概况</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项目简介</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认真贯彻落实《习近平总书记重要讲话精神加快推进深度贫困地区脱贫攻坚的意见》精神，到户到人精准施策，加快推进我县110个贫困村脱贫攻坚工作，坚决打赢脱贫攻坚这场硬仗。根据我县特色林果业现状，并按照群众意愿对我县贫困村建档立卡贫困户、国有贫困林场进行特色林果业进行提质增效，项目涉及贫困户22132户,87677人，林果面积94907亩，项目总投资3967万元。</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项目绩效目标</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项目绩效总目标</w:t>
      </w:r>
    </w:p>
    <w:p>
      <w:pPr>
        <w:keepNext w:val="0"/>
        <w:keepLines w:val="0"/>
        <w:pageBreakBefore w:val="0"/>
        <w:kinsoku/>
        <w:overflowPunct/>
        <w:topLinePunct w:val="0"/>
        <w:autoSpaceDE w:val="0"/>
        <w:autoSpaceDN w:val="0"/>
        <w:bidi w:val="0"/>
        <w:adjustRightInd w:val="0"/>
        <w:spacing w:line="57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着眼长远，从领导重视、宣传培训、巩固基地建设、有害生物防治、田间管护、品牌建设、市场流通等环节入手，多管齐下，坚定不移地抓好特色林果业提质增效工作。2018年实现全县14乡镇共计178个村，22132户建档立卡贫困户，94907亩果园优质果率达80%以上，亩均产量较上年增加15%以上。</w:t>
      </w:r>
    </w:p>
    <w:p>
      <w:pPr>
        <w:keepNext w:val="0"/>
        <w:keepLines w:val="0"/>
        <w:pageBreakBefore w:val="0"/>
        <w:numPr>
          <w:ilvl w:val="0"/>
          <w:numId w:val="3"/>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keepNext w:val="0"/>
        <w:keepLines w:val="0"/>
        <w:pageBreakBefore w:val="0"/>
        <w:numPr>
          <w:ilvl w:val="0"/>
          <w:numId w:val="1"/>
        </w:numPr>
        <w:kinsoku/>
        <w:overflowPunct/>
        <w:topLinePunct w:val="0"/>
        <w:bidi w:val="0"/>
        <w:spacing w:line="570" w:lineRule="exact"/>
        <w:ind w:firstLine="640" w:firstLineChars="200"/>
        <w:jc w:val="left"/>
        <w:textAlignment w:val="auto"/>
        <w:rPr>
          <w:rFonts w:hint="eastAsia" w:ascii="仿宋" w:hAnsi="仿宋" w:eastAsia="仿宋" w:cs="仿宋"/>
          <w:bCs/>
          <w:kern w:val="44"/>
          <w:sz w:val="32"/>
          <w:szCs w:val="32"/>
        </w:rPr>
      </w:pPr>
      <w:r>
        <w:rPr>
          <w:rFonts w:hint="eastAsia" w:ascii="仿宋" w:hAnsi="仿宋" w:eastAsia="仿宋" w:cs="仿宋"/>
          <w:bCs/>
          <w:kern w:val="44"/>
          <w:sz w:val="32"/>
          <w:szCs w:val="32"/>
        </w:rPr>
        <w:t>项目执行基本情况</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项目各阶段实施前均向县扶贫开发领导小组提出方案，县扶贫开发领导小组会议通过后具体实施。</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项目调整情况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无。</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项目完成情况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目前项目已完成病虫害防治、施肥、采摘、初加工阶段，正在实施果树补植补造。</w:t>
      </w:r>
    </w:p>
    <w:p>
      <w:pPr>
        <w:keepNext w:val="0"/>
        <w:keepLines w:val="0"/>
        <w:pageBreakBefore w:val="0"/>
        <w:numPr>
          <w:ilvl w:val="0"/>
          <w:numId w:val="4"/>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项目预算安排情况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项目资金总到位3967万元，其中贫困户提质增效项目资金3800万，国有贫困林场提质增效项目资金167万元。</w:t>
      </w:r>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项目实际支出情况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项目资金总到位3967万元，其中贫困户提质增效项目资金3800万，目前已支出</w:t>
      </w:r>
      <w:r>
        <w:rPr>
          <w:rFonts w:hint="eastAsia" w:ascii="仿宋" w:hAnsi="仿宋" w:eastAsia="仿宋" w:cs="仿宋"/>
          <w:color w:val="000000"/>
          <w:sz w:val="32"/>
          <w:szCs w:val="32"/>
          <w:lang w:val="en-US" w:eastAsia="zh-CN"/>
        </w:rPr>
        <w:t>3347.92万</w:t>
      </w:r>
      <w:r>
        <w:rPr>
          <w:rFonts w:hint="eastAsia" w:ascii="仿宋" w:hAnsi="仿宋" w:eastAsia="仿宋" w:cs="仿宋"/>
          <w:color w:val="000000"/>
          <w:sz w:val="32"/>
          <w:szCs w:val="32"/>
        </w:rPr>
        <w:t>元。</w:t>
      </w:r>
      <w:bookmarkStart w:id="0" w:name="_GoBack"/>
      <w:bookmarkEnd w:id="0"/>
    </w:p>
    <w:p>
      <w:pPr>
        <w:keepNext w:val="0"/>
        <w:keepLines w:val="0"/>
        <w:pageBreakBefore w:val="0"/>
        <w:numPr>
          <w:ilvl w:val="0"/>
          <w:numId w:val="5"/>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项目财务管理状况、管理制度及执行情况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pPr>
        <w:keepNext w:val="0"/>
        <w:keepLines w:val="0"/>
        <w:pageBreakBefore w:val="0"/>
        <w:kinsoku/>
        <w:overflowPunct/>
        <w:topLinePunct w:val="0"/>
        <w:bidi w:val="0"/>
        <w:adjustRightInd w:val="0"/>
        <w:snapToGrid w:val="0"/>
        <w:spacing w:line="570" w:lineRule="exact"/>
        <w:ind w:firstLine="624" w:firstLineChars="200"/>
        <w:textAlignment w:val="auto"/>
        <w:outlineLvl w:val="0"/>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包括：项目投标情况、调整情况、完成验收等方面。</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该项目属于农户个人补助项目,没有达到招投标限额,由实施单位负责自行组织实施。项目实施由英吉沙县</w:t>
      </w:r>
      <w:r>
        <w:rPr>
          <w:rFonts w:hint="eastAsia" w:ascii="仿宋" w:hAnsi="仿宋" w:eastAsia="仿宋" w:cs="仿宋"/>
          <w:bCs/>
          <w:color w:val="000000"/>
          <w:sz w:val="32"/>
          <w:szCs w:val="32"/>
          <w:lang w:eastAsia="zh-CN"/>
        </w:rPr>
        <w:t>林业</w:t>
      </w:r>
      <w:r>
        <w:rPr>
          <w:rFonts w:hint="eastAsia" w:ascii="仿宋" w:hAnsi="仿宋" w:eastAsia="仿宋" w:cs="仿宋"/>
          <w:bCs/>
          <w:color w:val="000000"/>
          <w:sz w:val="32"/>
          <w:szCs w:val="32"/>
        </w:rPr>
        <w:t>局、</w:t>
      </w:r>
      <w:r>
        <w:rPr>
          <w:rFonts w:hint="eastAsia" w:ascii="仿宋" w:hAnsi="仿宋" w:eastAsia="仿宋" w:cs="仿宋"/>
          <w:bCs/>
          <w:color w:val="000000"/>
          <w:sz w:val="32"/>
          <w:szCs w:val="32"/>
          <w:lang w:eastAsia="zh-CN"/>
        </w:rPr>
        <w:t>全县</w:t>
      </w:r>
      <w:r>
        <w:rPr>
          <w:rFonts w:hint="eastAsia" w:ascii="仿宋" w:hAnsi="仿宋" w:eastAsia="仿宋" w:cs="仿宋"/>
          <w:bCs/>
          <w:color w:val="000000"/>
          <w:sz w:val="32"/>
          <w:szCs w:val="32"/>
          <w:lang w:val="en-US" w:eastAsia="zh-CN"/>
        </w:rPr>
        <w:t>14个乡镇</w:t>
      </w:r>
      <w:r>
        <w:rPr>
          <w:rFonts w:hint="eastAsia" w:ascii="仿宋" w:hAnsi="仿宋" w:eastAsia="仿宋" w:cs="仿宋"/>
          <w:bCs/>
          <w:color w:val="000000"/>
          <w:sz w:val="32"/>
          <w:szCs w:val="32"/>
        </w:rPr>
        <w:t>共同监管。</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本项目不存在调整情况。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为保证项目质量和成本控制，项目实施完成后，由三方项目相关人员</w:t>
      </w:r>
      <w:r>
        <w:rPr>
          <w:rFonts w:hint="eastAsia" w:ascii="仿宋" w:hAnsi="仿宋" w:eastAsia="仿宋" w:cs="仿宋"/>
          <w:bCs/>
          <w:color w:val="000000"/>
          <w:sz w:val="32"/>
          <w:szCs w:val="32"/>
          <w:lang w:eastAsia="zh-CN"/>
        </w:rPr>
        <w:t>组织</w:t>
      </w:r>
      <w:r>
        <w:rPr>
          <w:rFonts w:hint="eastAsia" w:ascii="仿宋" w:hAnsi="仿宋" w:eastAsia="仿宋" w:cs="仿宋"/>
          <w:bCs/>
          <w:color w:val="000000"/>
          <w:sz w:val="32"/>
          <w:szCs w:val="32"/>
        </w:rPr>
        <w:t>检查验收，检查验收合格后按合同规定支付款项。</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rPr>
      </w:pPr>
      <w:r>
        <w:rPr>
          <w:rFonts w:hint="eastAsia" w:ascii="仿宋" w:hAnsi="仿宋" w:eastAsia="仿宋" w:cs="仿宋"/>
          <w:color w:val="000000"/>
          <w:sz w:val="32"/>
          <w:szCs w:val="32"/>
        </w:rPr>
        <w:t>项目实施过程中，</w:t>
      </w:r>
      <w:r>
        <w:rPr>
          <w:rFonts w:hint="eastAsia" w:ascii="仿宋" w:hAnsi="仿宋" w:eastAsia="仿宋" w:cs="仿宋"/>
          <w:bCs/>
          <w:color w:val="000000"/>
          <w:sz w:val="32"/>
          <w:szCs w:val="32"/>
        </w:rPr>
        <w:t>制定了项目实施方案，</w:t>
      </w:r>
      <w:r>
        <w:rPr>
          <w:rFonts w:hint="eastAsia" w:ascii="仿宋" w:hAnsi="仿宋" w:eastAsia="仿宋" w:cs="仿宋"/>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pPr>
        <w:keepNext w:val="0"/>
        <w:keepLines w:val="0"/>
        <w:pageBreakBefore w:val="0"/>
        <w:numPr>
          <w:ilvl w:val="0"/>
          <w:numId w:val="0"/>
        </w:numPr>
        <w:kinsoku/>
        <w:overflowPunct/>
        <w:topLinePunct w:val="0"/>
        <w:bidi w:val="0"/>
        <w:spacing w:line="570" w:lineRule="exact"/>
        <w:ind w:firstLine="640" w:firstLineChars="200"/>
        <w:jc w:val="left"/>
        <w:textAlignment w:val="auto"/>
        <w:rPr>
          <w:rFonts w:hint="eastAsia" w:ascii="仿宋" w:hAnsi="仿宋" w:eastAsia="仿宋" w:cs="仿宋"/>
          <w:bCs/>
          <w:kern w:val="44"/>
          <w:sz w:val="32"/>
          <w:szCs w:val="32"/>
        </w:rPr>
      </w:pPr>
      <w:r>
        <w:rPr>
          <w:rFonts w:hint="eastAsia" w:ascii="仿宋" w:hAnsi="仿宋" w:eastAsia="仿宋" w:cs="仿宋"/>
          <w:bCs/>
          <w:kern w:val="44"/>
          <w:sz w:val="32"/>
          <w:szCs w:val="32"/>
          <w:lang w:eastAsia="zh-CN"/>
        </w:rPr>
        <w:t>四、</w:t>
      </w:r>
      <w:r>
        <w:rPr>
          <w:rFonts w:hint="eastAsia" w:ascii="仿宋" w:hAnsi="仿宋" w:eastAsia="仿宋" w:cs="仿宋"/>
          <w:bCs/>
          <w:kern w:val="44"/>
          <w:sz w:val="32"/>
          <w:szCs w:val="32"/>
        </w:rPr>
        <w:t>项目绩效目标实现的自我评价</w:t>
      </w:r>
    </w:p>
    <w:p>
      <w:pPr>
        <w:keepNext w:val="0"/>
        <w:keepLines w:val="0"/>
        <w:pageBreakBefore w:val="0"/>
        <w:numPr>
          <w:ilvl w:val="0"/>
          <w:numId w:val="6"/>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绩效指标分析</w:t>
      </w:r>
    </w:p>
    <w:p>
      <w:pPr>
        <w:keepNext w:val="0"/>
        <w:keepLines w:val="0"/>
        <w:pageBreakBefore w:val="0"/>
        <w:numPr>
          <w:ilvl w:val="0"/>
          <w:numId w:val="7"/>
        </w:numPr>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产出指标完成情况分析。</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（1）数量指标完成情况。项目受益全县14乡镇，178个村，94907亩特色林果，22132户贫困户。</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（3）时效指标完成情况。英吉沙县林果业提质增效项目实施严格按照实施方案时间进度及林果生长情况落实管护措施。</w:t>
      </w:r>
    </w:p>
    <w:p>
      <w:pPr>
        <w:keepNext w:val="0"/>
        <w:keepLines w:val="0"/>
        <w:pageBreakBefore w:val="0"/>
        <w:numPr>
          <w:ilvl w:val="0"/>
          <w:numId w:val="7"/>
        </w:numPr>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效益指标</w:t>
      </w:r>
    </w:p>
    <w:p>
      <w:pPr>
        <w:keepNext w:val="0"/>
        <w:keepLines w:val="0"/>
        <w:pageBreakBefore w:val="0"/>
        <w:kinsoku/>
        <w:overflowPunct/>
        <w:topLinePunct w:val="0"/>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1）经济效益指标。经过林果业提质增效项目的实施，2018年英吉沙县主要林果产品优果率已达到80%，相比去年主要林果产品害虫蛀果率80%形成了鲜明对比，且经过今年提质增效的实施，去年产量亩均300公斤左右，今年能达到350-500公斤。</w:t>
      </w:r>
    </w:p>
    <w:p>
      <w:pPr>
        <w:keepNext w:val="0"/>
        <w:keepLines w:val="0"/>
        <w:pageBreakBefore w:val="0"/>
        <w:kinsoku/>
        <w:overflowPunct/>
        <w:topLinePunct w:val="0"/>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（2）社会效益指标。经过今年特色林果提质增效的实施，重新激发了果农管理经济林的信心与积极性，整个英吉沙县形成了勤劳致富，优果致富的社会风气。</w:t>
      </w:r>
    </w:p>
    <w:p>
      <w:pPr>
        <w:keepNext w:val="0"/>
        <w:keepLines w:val="0"/>
        <w:pageBreakBefore w:val="0"/>
        <w:kinsoku/>
        <w:overflowPunct/>
        <w:topLinePunct w:val="0"/>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（3）可持续影响指标。通过今年对贫困户实施林果业提质增效，激发、指导了周边一般群众对自己的林果进行了田间管理、病虫害防治、施肥等积极性。</w:t>
      </w:r>
    </w:p>
    <w:p>
      <w:pPr>
        <w:keepNext w:val="0"/>
        <w:keepLines w:val="0"/>
        <w:pageBreakBefore w:val="0"/>
        <w:numPr>
          <w:ilvl w:val="0"/>
          <w:numId w:val="7"/>
        </w:numPr>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满意度指标</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服务对象满意度指标。通过今年林果业提质增效项目实施，让广大贫困户享受到了勤劳致富、科学管理致富的甜头，广大贫困户坚信英吉沙特色经济林是他们脱贫增收的重要途径。</w:t>
      </w:r>
    </w:p>
    <w:p>
      <w:pPr>
        <w:keepNext w:val="0"/>
        <w:keepLines w:val="0"/>
        <w:pageBreakBefore w:val="0"/>
        <w:numPr>
          <w:ilvl w:val="0"/>
          <w:numId w:val="6"/>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项目取得的成效。</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通过林果业提质增效项目的实施，亩均产量由去年300公斤/亩提升到今年350-500公斤/亩；蛀果率由去年80%减少到20%以下，虫口基数得到有效控制；优果率今年提升60%以上，由于优果率的提升，进而提高了林果产品的商品价值（由去年2元/公斤提升到3.5元/公斤）；通过项目实施，增强了果农科学管理林果水平与意识。</w:t>
      </w:r>
    </w:p>
    <w:p>
      <w:pPr>
        <w:keepNext w:val="0"/>
        <w:keepLines w:val="0"/>
        <w:pageBreakBefore w:val="0"/>
        <w:numPr>
          <w:ilvl w:val="0"/>
          <w:numId w:val="0"/>
        </w:numPr>
        <w:kinsoku/>
        <w:overflowPunct/>
        <w:topLinePunct w:val="0"/>
        <w:bidi w:val="0"/>
        <w:spacing w:line="570" w:lineRule="exact"/>
        <w:ind w:firstLine="640" w:firstLineChars="200"/>
        <w:jc w:val="left"/>
        <w:textAlignment w:val="auto"/>
        <w:rPr>
          <w:rFonts w:hint="eastAsia" w:ascii="仿宋" w:hAnsi="仿宋" w:eastAsia="仿宋" w:cs="仿宋"/>
          <w:bCs/>
          <w:kern w:val="44"/>
          <w:sz w:val="32"/>
          <w:szCs w:val="32"/>
          <w:lang w:eastAsia="zh-CN"/>
        </w:rPr>
      </w:pPr>
      <w:r>
        <w:rPr>
          <w:rFonts w:hint="eastAsia" w:ascii="仿宋" w:hAnsi="仿宋" w:eastAsia="仿宋" w:cs="仿宋"/>
          <w:bCs/>
          <w:kern w:val="44"/>
          <w:sz w:val="32"/>
          <w:szCs w:val="32"/>
          <w:lang w:eastAsia="zh-CN"/>
        </w:rPr>
        <w:t>五、</w:t>
      </w:r>
      <w:r>
        <w:rPr>
          <w:rFonts w:hint="eastAsia" w:ascii="仿宋" w:hAnsi="仿宋" w:eastAsia="仿宋" w:cs="仿宋"/>
          <w:bCs/>
          <w:kern w:val="44"/>
          <w:sz w:val="32"/>
          <w:szCs w:val="32"/>
        </w:rPr>
        <w:t>项目实施的经验、存在的问题和</w:t>
      </w:r>
      <w:r>
        <w:rPr>
          <w:rFonts w:hint="eastAsia" w:ascii="仿宋" w:hAnsi="仿宋" w:eastAsia="仿宋" w:cs="仿宋"/>
          <w:bCs/>
          <w:kern w:val="44"/>
          <w:sz w:val="32"/>
          <w:szCs w:val="32"/>
          <w:lang w:eastAsia="zh-CN"/>
        </w:rPr>
        <w:t>意见建议</w:t>
      </w:r>
    </w:p>
    <w:p>
      <w:pPr>
        <w:keepNext w:val="0"/>
        <w:keepLines w:val="0"/>
        <w:pageBreakBefore w:val="0"/>
        <w:numPr>
          <w:ilvl w:val="0"/>
          <w:numId w:val="8"/>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项目实施过程中好的经验做法；</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通过聘请自治区林果专家对果农现场指导、培训，提高了果农科学管理、种植水平；增强了果农市场意识，拓宽了市场渠道。</w:t>
      </w:r>
    </w:p>
    <w:p>
      <w:pPr>
        <w:keepNext w:val="0"/>
        <w:keepLines w:val="0"/>
        <w:pageBreakBefore w:val="0"/>
        <w:numPr>
          <w:ilvl w:val="0"/>
          <w:numId w:val="8"/>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项目实施过程中存在的问题及原因分析；</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项目资金到位晚，到位不及时，影响了项目及时实施；劳动力不足，导致项目整体未能按预定目标及时实施；缺乏林果专业技术人才。</w:t>
      </w:r>
    </w:p>
    <w:p>
      <w:pPr>
        <w:keepNext w:val="0"/>
        <w:keepLines w:val="0"/>
        <w:pageBreakBefore w:val="0"/>
        <w:numPr>
          <w:ilvl w:val="0"/>
          <w:numId w:val="8"/>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对下一年度项目实施的改进意见或措施。</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从援疆省市引进林果专业技术人才；成立科技研发中心，加强对外交流；加强对果农的技术培训。</w:t>
      </w:r>
    </w:p>
    <w:p>
      <w:pPr>
        <w:keepNext w:val="0"/>
        <w:keepLines w:val="0"/>
        <w:pageBreakBefore w:val="0"/>
        <w:kinsoku/>
        <w:overflowPunct/>
        <w:topLinePunct w:val="0"/>
        <w:bidi w:val="0"/>
        <w:spacing w:line="570" w:lineRule="exact"/>
        <w:textAlignment w:val="auto"/>
        <w:rPr>
          <w:rFonts w:hint="eastAsia" w:ascii="仿宋" w:hAnsi="仿宋" w:eastAsia="仿宋" w:cs="仿宋"/>
        </w:rPr>
      </w:pPr>
    </w:p>
    <w:p>
      <w:pPr>
        <w:keepNext w:val="0"/>
        <w:keepLines w:val="0"/>
        <w:pageBreakBefore w:val="0"/>
        <w:widowControl/>
        <w:kinsoku/>
        <w:wordWrap w:val="0"/>
        <w:overflowPunct/>
        <w:topLinePunct w:val="0"/>
        <w:bidi w:val="0"/>
        <w:spacing w:line="570" w:lineRule="exact"/>
        <w:ind w:firstLine="2560" w:firstLineChars="800"/>
        <w:jc w:val="right"/>
        <w:textAlignment w:val="auto"/>
        <w:rPr>
          <w:rFonts w:hint="eastAsia" w:ascii="仿宋" w:hAnsi="仿宋" w:eastAsia="仿宋" w:cs="仿宋"/>
          <w:sz w:val="32"/>
          <w:szCs w:val="32"/>
        </w:rPr>
      </w:pPr>
      <w:r>
        <w:rPr>
          <w:rFonts w:hint="eastAsia" w:ascii="仿宋" w:hAnsi="仿宋" w:eastAsia="仿宋" w:cs="仿宋"/>
          <w:sz w:val="32"/>
          <w:szCs w:val="32"/>
        </w:rPr>
        <w:t xml:space="preserve">英吉沙县林业局  </w:t>
      </w:r>
    </w:p>
    <w:p>
      <w:pPr>
        <w:keepNext w:val="0"/>
        <w:keepLines w:val="0"/>
        <w:pageBreakBefore w:val="0"/>
        <w:widowControl/>
        <w:kinsoku/>
        <w:overflowPunct/>
        <w:topLinePunct w:val="0"/>
        <w:bidi w:val="0"/>
        <w:spacing w:line="570" w:lineRule="exact"/>
        <w:ind w:firstLine="2560" w:firstLineChars="800"/>
        <w:jc w:val="right"/>
        <w:textAlignment w:val="auto"/>
        <w:rPr>
          <w:rFonts w:hint="eastAsia" w:ascii="仿宋" w:hAnsi="仿宋" w:eastAsia="仿宋" w:cs="仿宋"/>
          <w:sz w:val="32"/>
          <w:szCs w:val="32"/>
        </w:rPr>
      </w:pPr>
      <w:r>
        <w:rPr>
          <w:rFonts w:hint="eastAsia" w:ascii="仿宋" w:hAnsi="仿宋" w:eastAsia="仿宋" w:cs="仿宋"/>
          <w:sz w:val="32"/>
          <w:szCs w:val="32"/>
        </w:rPr>
        <w:t>2018年1</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Arial Narrow">
    <w:panose1 w:val="020B0506020202030204"/>
    <w:charset w:val="00"/>
    <w:family w:val="auto"/>
    <w:pitch w:val="default"/>
    <w:sig w:usb0="00000287" w:usb1="00000000" w:usb2="00000000" w:usb3="00000000" w:csb0="2000009F" w:csb1="DFD70000"/>
  </w:font>
  <w:font w:name="Arial Narrow">
    <w:panose1 w:val="020B0506020202030204"/>
    <w:charset w:val="01"/>
    <w:family w:val="swiss"/>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E6B4833B"/>
    <w:multiLevelType w:val="singleLevel"/>
    <w:tmpl w:val="E6B4833B"/>
    <w:lvl w:ilvl="0" w:tentative="0">
      <w:start w:val="1"/>
      <w:numFmt w:val="chineseCounting"/>
      <w:suff w:val="nothing"/>
      <w:lvlText w:val="（%1）"/>
      <w:lvlJc w:val="left"/>
      <w:rPr>
        <w:rFonts w:hint="eastAsia"/>
      </w:rPr>
    </w:lvl>
  </w:abstractNum>
  <w:abstractNum w:abstractNumId="3">
    <w:nsid w:val="06F8B721"/>
    <w:multiLevelType w:val="singleLevel"/>
    <w:tmpl w:val="06F8B721"/>
    <w:lvl w:ilvl="0" w:tentative="0">
      <w:start w:val="1"/>
      <w:numFmt w:val="chineseCounting"/>
      <w:suff w:val="nothing"/>
      <w:lvlText w:val="%1、"/>
      <w:lvlJc w:val="left"/>
      <w:rPr>
        <w:rFonts w:hint="eastAsia"/>
      </w:rPr>
    </w:lvl>
  </w:abstractNum>
  <w:abstractNum w:abstractNumId="4">
    <w:nsid w:val="0B4C0C92"/>
    <w:multiLevelType w:val="singleLevel"/>
    <w:tmpl w:val="0B4C0C92"/>
    <w:lvl w:ilvl="0" w:tentative="0">
      <w:start w:val="1"/>
      <w:numFmt w:val="decimal"/>
      <w:lvlText w:val="%1."/>
      <w:lvlJc w:val="left"/>
      <w:pPr>
        <w:tabs>
          <w:tab w:val="left" w:pos="312"/>
        </w:tabs>
      </w:pPr>
    </w:lvl>
  </w:abstractNum>
  <w:abstractNum w:abstractNumId="5">
    <w:nsid w:val="2BEE0553"/>
    <w:multiLevelType w:val="singleLevel"/>
    <w:tmpl w:val="2BEE0553"/>
    <w:lvl w:ilvl="0" w:tentative="0">
      <w:start w:val="1"/>
      <w:numFmt w:val="chineseCounting"/>
      <w:suff w:val="nothing"/>
      <w:lvlText w:val="（%1）"/>
      <w:lvlJc w:val="left"/>
      <w:rPr>
        <w:rFonts w:hint="eastAsia"/>
      </w:rPr>
    </w:lvl>
  </w:abstractNum>
  <w:abstractNum w:abstractNumId="6">
    <w:nsid w:val="5E2D902D"/>
    <w:multiLevelType w:val="singleLevel"/>
    <w:tmpl w:val="5E2D902D"/>
    <w:lvl w:ilvl="0" w:tentative="0">
      <w:start w:val="1"/>
      <w:numFmt w:val="chineseCounting"/>
      <w:suff w:val="nothing"/>
      <w:lvlText w:val="（%1）"/>
      <w:lvlJc w:val="left"/>
      <w:rPr>
        <w:rFonts w:hint="eastAsia"/>
      </w:rPr>
    </w:lvl>
  </w:abstractNum>
  <w:abstractNum w:abstractNumId="7">
    <w:nsid w:val="5E8C68CE"/>
    <w:multiLevelType w:val="multilevel"/>
    <w:tmpl w:val="5E8C68CE"/>
    <w:lvl w:ilvl="0" w:tentative="0">
      <w:start w:val="1"/>
      <w:numFmt w:val="decimal"/>
      <w:lvlText w:val="%1."/>
      <w:lvlJc w:val="left"/>
      <w:pPr>
        <w:ind w:left="1120" w:hanging="4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6C0D00"/>
    <w:rsid w:val="00730C31"/>
    <w:rsid w:val="008267E5"/>
    <w:rsid w:val="00B26601"/>
    <w:rsid w:val="00D74C70"/>
    <w:rsid w:val="00DA602C"/>
    <w:rsid w:val="00E4462B"/>
    <w:rsid w:val="00F02D93"/>
    <w:rsid w:val="00F62922"/>
    <w:rsid w:val="00FD0DB2"/>
    <w:rsid w:val="02CF1C13"/>
    <w:rsid w:val="244F61FB"/>
    <w:rsid w:val="29FB04E9"/>
    <w:rsid w:val="33FF363E"/>
    <w:rsid w:val="3E09305B"/>
    <w:rsid w:val="3FF72668"/>
    <w:rsid w:val="47113CFA"/>
    <w:rsid w:val="49DE12A4"/>
    <w:rsid w:val="63070C67"/>
    <w:rsid w:val="6A9870E3"/>
    <w:rsid w:val="6D535020"/>
    <w:rsid w:val="6F74381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bCs/>
    </w:rPr>
  </w:style>
  <w:style w:type="paragraph" w:customStyle="1"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Pages>
  <Words>276</Words>
  <Characters>1575</Characters>
  <Lines>13</Lines>
  <Paragraphs>3</Paragraphs>
  <TotalTime>0</TotalTime>
  <ScaleCrop>false</ScaleCrop>
  <LinksUpToDate>false</LinksUpToDate>
  <CharactersWithSpaces>1848</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dcterms:modified xsi:type="dcterms:W3CDTF">2019-09-06T03:27:17Z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